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DA" w:rsidRPr="006C4BDA" w:rsidRDefault="006C4BDA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6C4BDA">
        <w:rPr>
          <w:rFonts w:ascii="Times New Roman" w:hAnsi="Times New Roman" w:cs="Times New Roman"/>
          <w:sz w:val="28"/>
          <w:szCs w:val="28"/>
        </w:rPr>
        <w:br/>
      </w:r>
    </w:p>
    <w:p w:rsidR="006C4BDA" w:rsidRPr="006C4BDA" w:rsidRDefault="006C4BD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Зарегистрировано в Минюсте России 15 декабря 2023 г. N 76433</w:t>
      </w:r>
    </w:p>
    <w:p w:rsidR="006C4BDA" w:rsidRPr="006C4BDA" w:rsidRDefault="006C4BD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bookmarkEnd w:id="0"/>
    <w:p w:rsidR="006C4BDA" w:rsidRPr="006C4BDA" w:rsidRDefault="006C4BD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6C4BDA" w:rsidRPr="006C4BDA" w:rsidRDefault="006C4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ПРИКАЗ</w:t>
      </w:r>
    </w:p>
    <w:p w:rsidR="006C4BDA" w:rsidRPr="006C4BDA" w:rsidRDefault="006C4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от 15 ноября 2023 г. N 863</w:t>
      </w:r>
    </w:p>
    <w:p w:rsidR="006C4BDA" w:rsidRPr="006C4BDA" w:rsidRDefault="006C4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ОБ УТВЕРЖДЕНИИ</w:t>
      </w:r>
    </w:p>
    <w:p w:rsidR="006C4BDA" w:rsidRPr="006C4BDA" w:rsidRDefault="006C4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</w:p>
    <w:p w:rsidR="006C4BDA" w:rsidRPr="006C4BDA" w:rsidRDefault="006C4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ПРОФЕССИИ 15.01.05</w:t>
      </w:r>
    </w:p>
    <w:p w:rsidR="006C4BDA" w:rsidRPr="006C4BDA" w:rsidRDefault="006C4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>СВАРЩИК (РУЧНОЙ И ЧАСТИЧНО МЕХАНИЗИРОВАННОЙ</w:t>
      </w:r>
      <w:proofErr w:type="gramEnd"/>
    </w:p>
    <w:p w:rsidR="006C4BDA" w:rsidRPr="006C4BDA" w:rsidRDefault="006C4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СВАРКИ (НАПЛАВКИ)</w:t>
      </w:r>
    </w:p>
    <w:p w:rsidR="006C4BDA" w:rsidRPr="006C4BDA" w:rsidRDefault="006C4BD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4BDA" w:rsidRPr="006C4B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DA" w:rsidRPr="006C4BDA" w:rsidRDefault="006C4B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DA" w:rsidRPr="006C4BDA" w:rsidRDefault="006C4B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4BDA" w:rsidRPr="006C4BDA" w:rsidRDefault="006C4B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C4BDA" w:rsidRPr="006C4BDA" w:rsidRDefault="006C4B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6">
              <w:r w:rsidRPr="006C4BD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6C4BD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6C4BD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6C4BD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27.03.2025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DA" w:rsidRPr="006C4BDA" w:rsidRDefault="006C4B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4.2.30 пункта 4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8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пунктом 27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  <w:proofErr w:type="gramEnd"/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государственный образовательный </w:t>
      </w:r>
      <w:hyperlink w:anchor="P35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</w:t>
      </w:r>
      <w:hyperlink r:id="rId9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15.01.05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Сварщик (ручной и частично механизированной сварки (наплавки) (далее - стандарт).</w:t>
      </w:r>
      <w:proofErr w:type="gramEnd"/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2. Установить, что: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вправе осуществлять в соответствии со </w:t>
      </w:r>
      <w:hyperlink w:anchor="P35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обучение лиц, зачисленных до вступления в силу настоящего приказа, с их согласия;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 xml:space="preserve">прием на обучение в соответствии с федеральным государственным образовательным </w:t>
      </w:r>
      <w:hyperlink r:id="rId10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стандартом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среднего профессионального образования по профессии </w:t>
      </w:r>
      <w:hyperlink r:id="rId11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15.01.05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Сварщик (ручной и частично механизированной сварки (наплавки), утвержденным приказом Министерства образования и науки </w:t>
      </w:r>
      <w:r w:rsidRPr="006C4BD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от 29 января 2016 г. N 50 (зарегистрирован Министерством юстиции Российской Федерации 24 февраля 2016 г., регистрационный N 41197), с изменениями, внесенными приказом Министерства образования и науки Российской Федерации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>от 14 сентября 2016 г. N 1193 (зарегистрирован Министерством юстиции Российской Федерации 5 октября 2016 г., регистрационный N 43932) 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 и от 1 сентября 2022 г. N 796 (зарегистрирован Министерством юстиции Российской Федерации 11 октября 2022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г.,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N 70461), прекращается с 31 декабря 2023 года.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Министр</w:t>
      </w:r>
    </w:p>
    <w:p w:rsidR="006C4BDA" w:rsidRPr="006C4BDA" w:rsidRDefault="006C4B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С.С.КРАВЦОВ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Утвержден</w:t>
      </w:r>
    </w:p>
    <w:p w:rsidR="006C4BDA" w:rsidRPr="006C4BDA" w:rsidRDefault="006C4B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6C4BDA" w:rsidRPr="006C4BDA" w:rsidRDefault="006C4B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6C4BDA" w:rsidRPr="006C4BDA" w:rsidRDefault="006C4B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от 15 ноября 2023 г. N 863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6C4BDA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</w:t>
      </w:r>
    </w:p>
    <w:p w:rsidR="006C4BDA" w:rsidRPr="006C4BDA" w:rsidRDefault="006C4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ПО ПРОФЕССИИ 15.01.05</w:t>
      </w:r>
    </w:p>
    <w:p w:rsidR="006C4BDA" w:rsidRPr="006C4BDA" w:rsidRDefault="006C4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>СВАРЩИК (РУЧНОЙ И ЧАСТИЧНО МЕХАНИЗИРОВАННОЙ</w:t>
      </w:r>
      <w:proofErr w:type="gramEnd"/>
    </w:p>
    <w:p w:rsidR="006C4BDA" w:rsidRPr="006C4BDA" w:rsidRDefault="006C4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СВАРКИ (НАПЛАВКИ)</w:t>
      </w:r>
    </w:p>
    <w:p w:rsidR="006C4BDA" w:rsidRPr="006C4BDA" w:rsidRDefault="006C4BDA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C4BDA" w:rsidRPr="006C4B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DA" w:rsidRPr="006C4BDA" w:rsidRDefault="006C4B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DA" w:rsidRPr="006C4BDA" w:rsidRDefault="006C4B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4BDA" w:rsidRPr="006C4BDA" w:rsidRDefault="006C4B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6C4BDA" w:rsidRPr="006C4BDA" w:rsidRDefault="006C4B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2">
              <w:r w:rsidRPr="006C4BD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Приказа</w:t>
              </w:r>
            </w:hyperlink>
            <w:r w:rsidRPr="006C4BD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proofErr w:type="spellStart"/>
            <w:r w:rsidRPr="006C4BD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6C4BDA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России от 27.03.2025 N 239)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4BDA" w:rsidRPr="006C4BDA" w:rsidRDefault="006C4B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 w:rsidRPr="006C4BD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</w:t>
      </w:r>
      <w:hyperlink r:id="rId13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15.01.05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Сварщик (ручной и частично механизированной сварки (наплавки) (далее соответственно - ФГОС СПО, образовательная программа, профессия) в </w:t>
      </w:r>
      <w:r w:rsidRPr="006C4BDA">
        <w:rPr>
          <w:rFonts w:ascii="Times New Roman" w:hAnsi="Times New Roman" w:cs="Times New Roman"/>
          <w:sz w:val="28"/>
          <w:szCs w:val="28"/>
        </w:rPr>
        <w:lastRenderedPageBreak/>
        <w:t>соответствии с квалификацией квалифицированного рабочего, служащего "сварщик" &lt;1&gt;.</w:t>
      </w:r>
      <w:proofErr w:type="gramEnd"/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4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25 сентября 2023 г. N 717 (зарегистрирован Министерством юстиции Российской Федерации 26 октября 2023 г., регистрационный N 75754).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5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стандарта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профессии.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Приказа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BD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C4BDA">
        <w:rPr>
          <w:rFonts w:ascii="Times New Roman" w:hAnsi="Times New Roman" w:cs="Times New Roman"/>
          <w:sz w:val="28"/>
          <w:szCs w:val="28"/>
        </w:rPr>
        <w:t xml:space="preserve"> России от 27.03.2025 N 239)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 xml:space="preserve">&lt;2&gt; Федеральный государственный образовательный </w:t>
      </w:r>
      <w:hyperlink r:id="rId17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стандарт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>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декабря 2020 г., регистрационный N 61749), от 11 декабря 2020 г. N 712 (зарегистрирован </w:t>
      </w:r>
      <w:r w:rsidRPr="006C4BDA">
        <w:rPr>
          <w:rFonts w:ascii="Times New Roman" w:hAnsi="Times New Roman" w:cs="Times New Roman"/>
          <w:sz w:val="28"/>
          <w:szCs w:val="28"/>
        </w:rPr>
        <w:lastRenderedPageBreak/>
        <w:t>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>Обучение по образовательной программе в образовательной организации осуществляется в очной и очно-заочной формах обучения.</w:t>
      </w:r>
      <w:proofErr w:type="gramEnd"/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работы. &lt;3&gt;</w:t>
      </w:r>
      <w:proofErr w:type="gramEnd"/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8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12.1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9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Статья 14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 w:rsidRPr="006C4BDA">
        <w:rPr>
          <w:rFonts w:ascii="Times New Roman" w:hAnsi="Times New Roman" w:cs="Times New Roman"/>
          <w:sz w:val="28"/>
          <w:szCs w:val="28"/>
        </w:rPr>
        <w:lastRenderedPageBreak/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на базе среднего общего образования - 10 месяцев;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на базе основного общего образования - 1 год 10 месяцев.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1.10.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>При обучении по индивидуальному учебному плану срок получения образования по образовательной программе вне зависимости от формы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обучения составляет не более срока получения образования, установленного для соответствующей формы обучения.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>обучении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 xml:space="preserve">При обучении по индивидуальному учебному плану несовершеннолетних обучающихся по очной форме обучения, осваивающих виды деятельности, предполагающие выполнение работ из числа работ, включенных в </w:t>
      </w:r>
      <w:hyperlink r:id="rId20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тяжелых работ и работ с вредными или опасными условиями труда, при выполнении которых запрещается применение труда лиц моложе 18 лет, утвержденный постановлением Правительства Российской Федерации от 25 февраля 2000 г. N 163, срок получения образования может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быть увеличен не более чем на 1 год по сравнению со сроком получения образования для соответствующей формы обучения.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1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BD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C4BDA">
        <w:rPr>
          <w:rFonts w:ascii="Times New Roman" w:hAnsi="Times New Roman" w:cs="Times New Roman"/>
          <w:sz w:val="28"/>
          <w:szCs w:val="28"/>
        </w:rPr>
        <w:t xml:space="preserve"> России от 27.03.2025 N 239)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7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пунктом 1.9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7"/>
      <w:bookmarkEnd w:id="4"/>
      <w:r w:rsidRPr="006C4BDA">
        <w:rPr>
          <w:rFonts w:ascii="Times New Roman" w:hAnsi="Times New Roman" w:cs="Times New Roman"/>
          <w:sz w:val="28"/>
          <w:szCs w:val="28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22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40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Сквозные виды профессиональной деятельности в промышленности &lt;5&gt;.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23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Таблица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>Российской Федерации 29 марта 2017 г., регистрационный N 46168).</w:t>
      </w:r>
      <w:proofErr w:type="gramEnd"/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II. ТРЕБОВАНИЯ К СТРУКТУРЕ ОБРАЗОВАТЕЛЬНОЙ ПРОГРАММЫ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2.1. Структура и объем образовательной программы </w:t>
      </w:r>
      <w:hyperlink w:anchor="P93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(таблица N 1)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дисциплины (модули);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практику;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государственную итоговую аттестацию.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Таблица N 1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93"/>
      <w:bookmarkEnd w:id="5"/>
      <w:r w:rsidRPr="006C4BDA">
        <w:rPr>
          <w:rFonts w:ascii="Times New Roman" w:hAnsi="Times New Roman" w:cs="Times New Roman"/>
          <w:sz w:val="28"/>
          <w:szCs w:val="28"/>
        </w:rPr>
        <w:t>Структура и объем образовательной программы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6C4BDA" w:rsidRPr="006C4BDA">
        <w:tc>
          <w:tcPr>
            <w:tcW w:w="4592" w:type="dxa"/>
          </w:tcPr>
          <w:p w:rsidR="006C4BDA" w:rsidRPr="006C4BDA" w:rsidRDefault="006C4B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Структура образовательной программы</w:t>
            </w:r>
          </w:p>
        </w:tc>
        <w:tc>
          <w:tcPr>
            <w:tcW w:w="4479" w:type="dxa"/>
          </w:tcPr>
          <w:p w:rsidR="006C4BDA" w:rsidRPr="006C4BDA" w:rsidRDefault="006C4B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Объем образовательной программы,</w:t>
            </w:r>
          </w:p>
          <w:p w:rsidR="006C4BDA" w:rsidRPr="006C4BDA" w:rsidRDefault="006C4B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в академических часах</w:t>
            </w:r>
          </w:p>
        </w:tc>
      </w:tr>
      <w:tr w:rsidR="006C4BDA" w:rsidRPr="006C4BDA">
        <w:tc>
          <w:tcPr>
            <w:tcW w:w="4592" w:type="dxa"/>
          </w:tcPr>
          <w:p w:rsidR="006C4BDA" w:rsidRPr="006C4BDA" w:rsidRDefault="006C4B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Дисциплины (модули)</w:t>
            </w:r>
          </w:p>
        </w:tc>
        <w:tc>
          <w:tcPr>
            <w:tcW w:w="4479" w:type="dxa"/>
          </w:tcPr>
          <w:p w:rsidR="006C4BDA" w:rsidRPr="006C4BDA" w:rsidRDefault="006C4B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Не менее 612</w:t>
            </w:r>
          </w:p>
        </w:tc>
      </w:tr>
      <w:tr w:rsidR="006C4BDA" w:rsidRPr="006C4BDA">
        <w:tc>
          <w:tcPr>
            <w:tcW w:w="4592" w:type="dxa"/>
          </w:tcPr>
          <w:p w:rsidR="006C4BDA" w:rsidRPr="006C4BDA" w:rsidRDefault="006C4B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4479" w:type="dxa"/>
          </w:tcPr>
          <w:p w:rsidR="006C4BDA" w:rsidRPr="006C4BDA" w:rsidRDefault="006C4B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Не менее 540</w:t>
            </w:r>
          </w:p>
        </w:tc>
      </w:tr>
      <w:tr w:rsidR="006C4BDA" w:rsidRPr="006C4BDA">
        <w:tc>
          <w:tcPr>
            <w:tcW w:w="4592" w:type="dxa"/>
          </w:tcPr>
          <w:p w:rsidR="006C4BDA" w:rsidRPr="006C4BDA" w:rsidRDefault="006C4B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Государственная итоговая аттестация</w:t>
            </w:r>
          </w:p>
        </w:tc>
        <w:tc>
          <w:tcPr>
            <w:tcW w:w="4479" w:type="dxa"/>
          </w:tcPr>
          <w:p w:rsidR="006C4BDA" w:rsidRPr="006C4BDA" w:rsidRDefault="006C4B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C4BDA" w:rsidRPr="006C4BDA">
        <w:tc>
          <w:tcPr>
            <w:tcW w:w="9071" w:type="dxa"/>
            <w:gridSpan w:val="2"/>
          </w:tcPr>
          <w:p w:rsidR="006C4BDA" w:rsidRPr="006C4BDA" w:rsidRDefault="006C4B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Общий объем образовательной программы:</w:t>
            </w:r>
          </w:p>
        </w:tc>
      </w:tr>
      <w:tr w:rsidR="006C4BDA" w:rsidRPr="006C4BDA">
        <w:tc>
          <w:tcPr>
            <w:tcW w:w="4592" w:type="dxa"/>
          </w:tcPr>
          <w:p w:rsidR="006C4BDA" w:rsidRPr="006C4BDA" w:rsidRDefault="006C4B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на базе среднего общего образования</w:t>
            </w:r>
          </w:p>
        </w:tc>
        <w:tc>
          <w:tcPr>
            <w:tcW w:w="4479" w:type="dxa"/>
          </w:tcPr>
          <w:p w:rsidR="006C4BDA" w:rsidRPr="006C4BDA" w:rsidRDefault="006C4B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1476</w:t>
            </w:r>
          </w:p>
        </w:tc>
      </w:tr>
      <w:tr w:rsidR="006C4BDA" w:rsidRPr="006C4BDA">
        <w:tc>
          <w:tcPr>
            <w:tcW w:w="4592" w:type="dxa"/>
          </w:tcPr>
          <w:p w:rsidR="006C4BDA" w:rsidRPr="006C4BDA" w:rsidRDefault="006C4B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r:id="rId24">
              <w:r w:rsidRPr="006C4BD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стандарта</w:t>
              </w:r>
            </w:hyperlink>
            <w:r w:rsidRPr="006C4BDA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общего образования</w:t>
            </w:r>
          </w:p>
        </w:tc>
        <w:tc>
          <w:tcPr>
            <w:tcW w:w="4479" w:type="dxa"/>
          </w:tcPr>
          <w:p w:rsidR="006C4BDA" w:rsidRPr="006C4BDA" w:rsidRDefault="006C4B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2952</w:t>
            </w:r>
          </w:p>
        </w:tc>
      </w:tr>
    </w:tbl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2.2. Образовательная программа включает: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социально-гуманитарный цикл;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общепрофессиональный цикл;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профессиональный цикл.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1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главой III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экономики.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</w:t>
      </w:r>
      <w:r w:rsidRPr="006C4BDA">
        <w:rPr>
          <w:rFonts w:ascii="Times New Roman" w:hAnsi="Times New Roman" w:cs="Times New Roman"/>
          <w:sz w:val="28"/>
          <w:szCs w:val="28"/>
        </w:rPr>
        <w:lastRenderedPageBreak/>
        <w:t>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19"/>
      <w:bookmarkEnd w:id="6"/>
      <w:r w:rsidRPr="006C4BDA">
        <w:rPr>
          <w:rFonts w:ascii="Times New Roman" w:hAnsi="Times New Roman" w:cs="Times New Roman"/>
          <w:sz w:val="28"/>
          <w:szCs w:val="28"/>
        </w:rPr>
        <w:t>2.4. Образовательная программа разрабатывается образовательной организацией в соответствии с ФГОС СПО и с учетом ПОП и предполагает освоение не менее трех видов деятельности, самостоятельно выбранных образовательной организацией из следующих видов деятельности: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выполнение подготовительных, сборочных операций перед сваркой и контроль сварных соединений;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выполнение ручной дуговой сварки (наплавка, резка) плавящимся покрытым электродом (по выбору);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выполнение частично механизированной сварки (наплавки) плавлением (по выбору);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выполнение ручной дуговой сварки (наплавки) неплавящимся электродом в защитном газе (по выбору);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выполнение сварки ручным способом с внешним источником нагрева и </w:t>
      </w:r>
      <w:proofErr w:type="spellStart"/>
      <w:r w:rsidRPr="006C4BDA">
        <w:rPr>
          <w:rFonts w:ascii="Times New Roman" w:hAnsi="Times New Roman" w:cs="Times New Roman"/>
          <w:sz w:val="28"/>
          <w:szCs w:val="28"/>
        </w:rPr>
        <w:t>экструзионной</w:t>
      </w:r>
      <w:proofErr w:type="spellEnd"/>
      <w:r w:rsidRPr="006C4BDA">
        <w:rPr>
          <w:rFonts w:ascii="Times New Roman" w:hAnsi="Times New Roman" w:cs="Times New Roman"/>
          <w:sz w:val="28"/>
          <w:szCs w:val="28"/>
        </w:rPr>
        <w:t xml:space="preserve"> сварки различных деталей из полимерных материалов (по выбору);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выполнение операций термитной сварки (по выбору).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9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ФГОС СПО, в рамках вариативной части.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</w:t>
      </w:r>
      <w:r w:rsidRPr="006C4BDA">
        <w:rPr>
          <w:rFonts w:ascii="Times New Roman" w:hAnsi="Times New Roman" w:cs="Times New Roman"/>
          <w:sz w:val="28"/>
          <w:szCs w:val="28"/>
        </w:rPr>
        <w:lastRenderedPageBreak/>
        <w:t>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часов, для подгрупп девушек это время может быть использовано на освоение основ медицинских знаний.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2.8. Обязательная часть общепрофессионального цикла образовательной программы должна предусматривать изучение следующих дисциплин: "Основы инженерной графики", "Основы электротехники", "Материаловедение", "Допуски и технические измерения".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19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5 зачетных единиц.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</w:t>
      </w:r>
      <w:proofErr w:type="spellStart"/>
      <w:r w:rsidRPr="006C4BDA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6C4BDA">
        <w:rPr>
          <w:rFonts w:ascii="Times New Roman" w:hAnsi="Times New Roman" w:cs="Times New Roman"/>
          <w:sz w:val="28"/>
          <w:szCs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образовательной программе, учитывающей особенности их психофизического развития, индивидуальных возможностей </w:t>
      </w:r>
      <w:r w:rsidRPr="006C4BDA">
        <w:rPr>
          <w:rFonts w:ascii="Times New Roman" w:hAnsi="Times New Roman" w:cs="Times New Roman"/>
          <w:sz w:val="28"/>
          <w:szCs w:val="28"/>
        </w:rPr>
        <w:lastRenderedPageBreak/>
        <w:t>и при необходимости обеспечивающей коррекцию нарушений развития и социальную адаптацию указанных лиц.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2.12. Государственная итоговая аттестация проводится в форме демонстрационного экзамена.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anchor="P44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ФГОС СПО.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41"/>
      <w:bookmarkEnd w:id="7"/>
      <w:r w:rsidRPr="006C4BDA">
        <w:rPr>
          <w:rFonts w:ascii="Times New Roman" w:hAnsi="Times New Roman" w:cs="Times New Roman"/>
          <w:sz w:val="28"/>
          <w:szCs w:val="28"/>
        </w:rPr>
        <w:t>III. ТРЕБОВАНИЯ К РЕЗУЛЬТАТАМ ОСВОЕНИЯ</w:t>
      </w:r>
    </w:p>
    <w:p w:rsidR="006C4BDA" w:rsidRPr="006C4BDA" w:rsidRDefault="006C4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3.2. Выпускник, освоивший образовательную программу, должен обладать следующими общими компетенциями (далее -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>):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lastRenderedPageBreak/>
        <w:t>ОК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09. Пользоваться профессиональной документацией на государственном и иностранном языках.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19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ФГОС СПО,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>сформированными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в том числе на основе профессиональных стандартов (при наличии), указанных в ПОП: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Таблица N 2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6C4BDA" w:rsidRPr="006C4BDA">
        <w:tc>
          <w:tcPr>
            <w:tcW w:w="2835" w:type="dxa"/>
          </w:tcPr>
          <w:p w:rsidR="006C4BDA" w:rsidRPr="006C4BDA" w:rsidRDefault="006C4B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6236" w:type="dxa"/>
          </w:tcPr>
          <w:p w:rsidR="006C4BDA" w:rsidRPr="006C4BDA" w:rsidRDefault="006C4B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Профессиональные компетенции, соответствующие видам деятельности</w:t>
            </w:r>
          </w:p>
        </w:tc>
      </w:tr>
      <w:tr w:rsidR="006C4BDA" w:rsidRPr="006C4BDA">
        <w:tc>
          <w:tcPr>
            <w:tcW w:w="2835" w:type="dxa"/>
          </w:tcPr>
          <w:p w:rsidR="006C4BDA" w:rsidRPr="006C4BDA" w:rsidRDefault="006C4B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6" w:type="dxa"/>
          </w:tcPr>
          <w:p w:rsidR="006C4BDA" w:rsidRPr="006C4BDA" w:rsidRDefault="006C4B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4BDA" w:rsidRPr="006C4BDA">
        <w:tc>
          <w:tcPr>
            <w:tcW w:w="2835" w:type="dxa"/>
          </w:tcPr>
          <w:p w:rsidR="006C4BDA" w:rsidRPr="006C4BDA" w:rsidRDefault="006C4B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выполнение подготовительных сборочных операций перед сваркой и контроль сварных соединений</w:t>
            </w:r>
          </w:p>
        </w:tc>
        <w:tc>
          <w:tcPr>
            <w:tcW w:w="6236" w:type="dxa"/>
          </w:tcPr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1.1. Проводить сборочные операции перед сваркой с использованием конструкторской, производственно-технологической и нормативной документации.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1.2. Выбирать пространственное положение сварного шва для сварки элементов конструкции (изделий, узлов, деталей).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1.3. Применять сборочные приспособления для сборки элементов конструкции (изделий, узлов, деталей) под сварку.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1.4. 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1.5. 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сварке.</w:t>
            </w:r>
          </w:p>
        </w:tc>
      </w:tr>
      <w:tr w:rsidR="006C4BDA" w:rsidRPr="006C4BDA">
        <w:tc>
          <w:tcPr>
            <w:tcW w:w="2835" w:type="dxa"/>
          </w:tcPr>
          <w:p w:rsidR="006C4BDA" w:rsidRPr="006C4BDA" w:rsidRDefault="006C4B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 xml:space="preserve">ыполнение ручной дуговой сварки (наплавка, резка) плавящимся покрытым электродом </w:t>
            </w:r>
            <w:r w:rsidRPr="006C4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выбору)</w:t>
            </w:r>
          </w:p>
        </w:tc>
        <w:tc>
          <w:tcPr>
            <w:tcW w:w="6236" w:type="dxa"/>
          </w:tcPr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X.1. Проверять работоспособность и исправность сварочного оборудования для ручной дуговой сварки (наплавка, резка) плавящимся покрытым электродом.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 xml:space="preserve">ПК X.2. Настраивать сварочное оборудование для </w:t>
            </w:r>
            <w:r w:rsidRPr="006C4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ручной дуговой сварки (наплавки, резки) плавящимся покрытым электродом.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X.3.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X.4. Выполнять ручную дуговую сварку (наплавку, резку) плавящимся покрытым электродом простых деталей неответственных конструкций в нижнем, вертикальном и горизонтальном пространственном положении сварного шва.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X.5. Выполнять дуговую резку металла</w:t>
            </w:r>
          </w:p>
        </w:tc>
      </w:tr>
      <w:tr w:rsidR="006C4BDA" w:rsidRPr="006C4BDA">
        <w:tc>
          <w:tcPr>
            <w:tcW w:w="2835" w:type="dxa"/>
          </w:tcPr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частично механизированной сварки (наплавки) плавлением (по выбору)</w:t>
            </w:r>
          </w:p>
        </w:tc>
        <w:tc>
          <w:tcPr>
            <w:tcW w:w="6236" w:type="dxa"/>
          </w:tcPr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X.1. Настраивать сварочное оборудование для частично механизированной сварки (наплавки) плавлением.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X.2.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X.3.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 w:rsidR="006C4BDA" w:rsidRPr="006C4BDA">
        <w:tc>
          <w:tcPr>
            <w:tcW w:w="2835" w:type="dxa"/>
          </w:tcPr>
          <w:p w:rsidR="006C4BDA" w:rsidRPr="006C4BDA" w:rsidRDefault="006C4B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выполнение ручной дуговой сварки (наплавки) неплавящимся электродом в защитном газе (по выбору)</w:t>
            </w:r>
          </w:p>
        </w:tc>
        <w:tc>
          <w:tcPr>
            <w:tcW w:w="6236" w:type="dxa"/>
            <w:vAlign w:val="center"/>
          </w:tcPr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X.1. Проверять работоспособность и исправность оборудования для ручной дуговой сварки (наплавки) неплавящимся электродом в защитном газе.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X.2. Настраивать сварочное оборудование для ручной дуговой сварки (наплавки) неплавящимся электродом в защитном газе.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X.3.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X.4. Выполнять ручную дуговую сварку (наплавку) неплавящимся электродом в защитном газе простых деталей неответственных конструкций в нижнем, вертикальном и горизонтальном пространственном положении сварного шва.</w:t>
            </w:r>
          </w:p>
        </w:tc>
      </w:tr>
      <w:tr w:rsidR="006C4BDA" w:rsidRPr="006C4BDA">
        <w:tc>
          <w:tcPr>
            <w:tcW w:w="2835" w:type="dxa"/>
          </w:tcPr>
          <w:p w:rsidR="006C4BDA" w:rsidRPr="006C4BDA" w:rsidRDefault="006C4B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выполнение сварки ручным способом с внешним источником нагрева и </w:t>
            </w:r>
            <w:proofErr w:type="spellStart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экструзионной</w:t>
            </w:r>
            <w:proofErr w:type="spellEnd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 xml:space="preserve"> сварки различных деталей из полимерных материалов (по выбору)</w:t>
            </w:r>
          </w:p>
        </w:tc>
        <w:tc>
          <w:tcPr>
            <w:tcW w:w="6236" w:type="dxa"/>
          </w:tcPr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 xml:space="preserve">ПК X.1. Подготавливать и проверять применяемые для сварки ручным способом с внешним источником нагрева (сварки нагретым газом), сварки нагретым инструментом, </w:t>
            </w:r>
            <w:proofErr w:type="spellStart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экструзионной</w:t>
            </w:r>
            <w:proofErr w:type="spellEnd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 xml:space="preserve"> сварки материалы (га</w:t>
            </w:r>
            <w:proofErr w:type="gramStart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з-</w:t>
            </w:r>
            <w:proofErr w:type="gramEnd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 xml:space="preserve"> теплоноситель, присадочные прутки, пленки, листы, полимерные трубы и стыковочные элементы (муфты, тройники и так далее).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 xml:space="preserve">ПК X.2. Проверять работоспособность и исправность оборудования для сварки ручным способом с внешним источником нагрева (сварки нагретым газом), сварки нагретым инструментом, </w:t>
            </w:r>
            <w:proofErr w:type="spellStart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экструзионной</w:t>
            </w:r>
            <w:proofErr w:type="spellEnd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 xml:space="preserve"> сварки.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 xml:space="preserve">ПК X.3. Настраивать сварочное оборудование для сварки ручным способом с внешним источником нагрева (сварки нагретым газом), сварки нагретым инструментом, </w:t>
            </w:r>
            <w:proofErr w:type="spellStart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экструзионной</w:t>
            </w:r>
            <w:proofErr w:type="spellEnd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 xml:space="preserve"> сварки.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X.4. Устанавливать свариваемые детали в технологические приспособления с последующим контролем.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 xml:space="preserve">ПК X.5. Выполнять сварку ручным способом с внешним источником нагрева (сварку нагретым газом), сварку нагретым инструментом, </w:t>
            </w:r>
            <w:proofErr w:type="spellStart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экструзионную</w:t>
            </w:r>
            <w:proofErr w:type="spellEnd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 xml:space="preserve"> сварку стыковых, </w:t>
            </w:r>
            <w:proofErr w:type="spellStart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нахлесточных</w:t>
            </w:r>
            <w:proofErr w:type="spellEnd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, угловых и тавровых сварных соединений простых деталей неответственных конструкций.</w:t>
            </w:r>
          </w:p>
        </w:tc>
      </w:tr>
      <w:tr w:rsidR="006C4BDA" w:rsidRPr="006C4BDA">
        <w:tc>
          <w:tcPr>
            <w:tcW w:w="2835" w:type="dxa"/>
          </w:tcPr>
          <w:p w:rsidR="006C4BDA" w:rsidRPr="006C4BDA" w:rsidRDefault="006C4B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ыполнение операций термитной сварки (по выбору)</w:t>
            </w:r>
          </w:p>
        </w:tc>
        <w:tc>
          <w:tcPr>
            <w:tcW w:w="6236" w:type="dxa"/>
            <w:vAlign w:val="center"/>
          </w:tcPr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 xml:space="preserve">ПК X.1. Изготавливать </w:t>
            </w:r>
            <w:proofErr w:type="spellStart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паяльно</w:t>
            </w:r>
            <w:proofErr w:type="spellEnd"/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-сварочные стержни и термитную смесь, соответствующие типу свариваемых деталей.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X.2. Выполнять сборку деталей для термитной сварки с использованием различных универсальных, специальных приспособлений и оснастки.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X.3. Выполнять термитную сварку с использованием огнеупорных и формовочных материалов.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X.4. Выполнять термитную сварку простых деталей неответственных конструкций.</w:t>
            </w:r>
          </w:p>
          <w:p w:rsidR="006C4BDA" w:rsidRPr="006C4BDA" w:rsidRDefault="006C4B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4BDA">
              <w:rPr>
                <w:rFonts w:ascii="Times New Roman" w:hAnsi="Times New Roman" w:cs="Times New Roman"/>
                <w:sz w:val="28"/>
                <w:szCs w:val="28"/>
              </w:rPr>
              <w:t>ПК X.5. Демонтировать универсальные, специальные приспособления и оснастку после термитной сварки.</w:t>
            </w:r>
          </w:p>
        </w:tc>
      </w:tr>
    </w:tbl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при необходимости самостоятельно </w:t>
      </w:r>
      <w:r w:rsidRPr="006C4BDA">
        <w:rPr>
          <w:rFonts w:ascii="Times New Roman" w:hAnsi="Times New Roman" w:cs="Times New Roman"/>
          <w:sz w:val="28"/>
          <w:szCs w:val="28"/>
        </w:rPr>
        <w:lastRenderedPageBreak/>
        <w:t xml:space="preserve">включает в образовательную программу дополнительные профессиональные компетенции по видам деятельности, установленными в соответствии с </w:t>
      </w:r>
      <w:hyperlink w:anchor="P119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  <w:proofErr w:type="gramEnd"/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3.5. Образовательная организация с учетом ПОП самостоятельно планирует результаты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Совокупность запланированных результатов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>обучения по дисциплинам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(модулям) и практикам должна обеспечивать выпускнику освоение всех компетенций, установленных образовательной программой.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25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Часть 7 статьи 73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IV. ТРЕБОВАНИЯ К УСЛОВИЯМ РЕАЛИЗАЦИИ</w:t>
      </w:r>
    </w:p>
    <w:p w:rsidR="006C4BDA" w:rsidRPr="006C4BDA" w:rsidRDefault="006C4B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ОБРАЗОВАТЕЛЬНОЙ ПРОГРАММЫ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&lt;7&gt; Федеральный </w:t>
      </w:r>
      <w:hyperlink r:id="rId26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от 30 марта 1999 г. N 52-ФЗ "О санитарно-эпидемиологическом благополучии населения";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 xml:space="preserve">санитарные правила </w:t>
      </w:r>
      <w:hyperlink r:id="rId27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СП 2.4.3648-20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</w:t>
      </w:r>
      <w:r w:rsidRPr="006C4BDA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8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СанПиН 2.3/2.4.3590-20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"Санитарно-эпидемиологические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 xml:space="preserve">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9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СанПиН 1.2.3685-21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"Гигиенические нормативы и требования к обеспечению безопасности и (или) безвредности для человека факторов среды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>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марта 2027 г.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4.3. Общесистемные требования к условиям реализации образовательной программы: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</w:t>
      </w:r>
      <w:r w:rsidRPr="006C4BDA">
        <w:rPr>
          <w:rFonts w:ascii="Times New Roman" w:hAnsi="Times New Roman" w:cs="Times New Roman"/>
          <w:sz w:val="28"/>
          <w:szCs w:val="28"/>
        </w:rPr>
        <w:lastRenderedPageBreak/>
        <w:t>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б) все виды учебной деятельности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>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г) допускается замена оборудования его виртуальными аналогами;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>указанных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lastRenderedPageBreak/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4.5. Требования к кадровым условиям реализации образовательной программы: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7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ФГОС СПО (имеющих стаж работы в данной профессиональной области не менее трех лет);</w:t>
      </w:r>
      <w:proofErr w:type="gramEnd"/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7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ФГОС СПО, а также в других областях профессиональной деятельности и (или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C4BDA">
        <w:rPr>
          <w:rFonts w:ascii="Times New Roman" w:hAnsi="Times New Roman" w:cs="Times New Roman"/>
          <w:sz w:val="28"/>
          <w:szCs w:val="28"/>
        </w:rPr>
        <w:t>сферах</w:t>
      </w:r>
      <w:proofErr w:type="gramEnd"/>
      <w:r w:rsidRPr="006C4BDA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4BDA">
        <w:rPr>
          <w:rFonts w:ascii="Times New Roman" w:hAnsi="Times New Roman" w:cs="Times New Roman"/>
          <w:sz w:val="28"/>
          <w:szCs w:val="28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7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пункте 1.13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  <w:proofErr w:type="gramEnd"/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4.6. Требование к финансовым условиям реализации образовательной программы: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финансовое обеспечение реализации образовательной программы </w:t>
      </w:r>
      <w:r w:rsidRPr="006C4BDA">
        <w:rPr>
          <w:rFonts w:ascii="Times New Roman" w:hAnsi="Times New Roman" w:cs="Times New Roman"/>
          <w:sz w:val="28"/>
          <w:szCs w:val="28"/>
        </w:rPr>
        <w:lastRenderedPageBreak/>
        <w:t xml:space="preserve">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30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от 29 декабря 2012 г. N 273-ФЗ "Об образовании в Российской Федерации".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 xml:space="preserve">&lt;8&gt; Бюджетный </w:t>
      </w:r>
      <w:hyperlink r:id="rId31">
        <w:r w:rsidRPr="006C4BDA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Pr="006C4BD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Pr="006C4BDA" w:rsidRDefault="006C4BDA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4.7. Требования к применяемым механизмам оценки качества образовательной программы: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6C4BDA" w:rsidRPr="006C4BDA" w:rsidRDefault="006C4B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4BDA">
        <w:rPr>
          <w:rFonts w:ascii="Times New Roman" w:hAnsi="Times New Roman" w:cs="Times New Roman"/>
          <w:sz w:val="28"/>
          <w:szCs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6C4BDA" w:rsidRPr="006C4BDA" w:rsidRDefault="006C4B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BDA" w:rsidRDefault="006C4BDA">
      <w:pPr>
        <w:pStyle w:val="ConsPlusNormal"/>
        <w:jc w:val="both"/>
      </w:pPr>
    </w:p>
    <w:p w:rsidR="006C4BDA" w:rsidRDefault="006C4B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3E12" w:rsidRDefault="00F23E12"/>
    <w:sectPr w:rsidR="00F23E12" w:rsidSect="006C0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DA"/>
    <w:rsid w:val="006C4BDA"/>
    <w:rsid w:val="00F2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B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4B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4B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4BD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BDA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B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C4B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C4B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4BDA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BDA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62&amp;dst=100072" TargetMode="External"/><Relationship Id="rId13" Type="http://schemas.openxmlformats.org/officeDocument/2006/relationships/hyperlink" Target="https://login.consultant.ru/link/?req=doc&amp;base=LAW&amp;n=504657&amp;dst=101529" TargetMode="External"/><Relationship Id="rId18" Type="http://schemas.openxmlformats.org/officeDocument/2006/relationships/hyperlink" Target="https://login.consultant.ru/link/?req=doc&amp;base=LAW&amp;n=511253&amp;dst=774" TargetMode="External"/><Relationship Id="rId26" Type="http://schemas.openxmlformats.org/officeDocument/2006/relationships/hyperlink" Target="https://login.consultant.ru/link/?req=doc&amp;base=LAW&amp;n=4957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4361&amp;dst=100446" TargetMode="External"/><Relationship Id="rId7" Type="http://schemas.openxmlformats.org/officeDocument/2006/relationships/hyperlink" Target="https://login.consultant.ru/link/?req=doc&amp;base=LAW&amp;n=499281&amp;dst=100051" TargetMode="External"/><Relationship Id="rId12" Type="http://schemas.openxmlformats.org/officeDocument/2006/relationships/hyperlink" Target="https://login.consultant.ru/link/?req=doc&amp;base=LAW&amp;n=504361&amp;dst=100444" TargetMode="External"/><Relationship Id="rId17" Type="http://schemas.openxmlformats.org/officeDocument/2006/relationships/hyperlink" Target="https://login.consultant.ru/link/?req=doc&amp;base=LAW&amp;n=470946&amp;dst=4" TargetMode="External"/><Relationship Id="rId25" Type="http://schemas.openxmlformats.org/officeDocument/2006/relationships/hyperlink" Target="https://login.consultant.ru/link/?req=doc&amp;base=LAW&amp;n=511253&amp;dst=415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4361&amp;dst=100445" TargetMode="External"/><Relationship Id="rId20" Type="http://schemas.openxmlformats.org/officeDocument/2006/relationships/hyperlink" Target="https://login.consultant.ru/link/?req=doc&amp;base=LAW&amp;n=115476&amp;dst=100008" TargetMode="External"/><Relationship Id="rId29" Type="http://schemas.openxmlformats.org/officeDocument/2006/relationships/hyperlink" Target="https://login.consultant.ru/link/?req=doc&amp;base=LAW&amp;n=441707&amp;dst=1001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4361&amp;dst=100444" TargetMode="External"/><Relationship Id="rId11" Type="http://schemas.openxmlformats.org/officeDocument/2006/relationships/hyperlink" Target="https://login.consultant.ru/link/?req=doc&amp;base=LAW&amp;n=504657&amp;dst=354" TargetMode="External"/><Relationship Id="rId24" Type="http://schemas.openxmlformats.org/officeDocument/2006/relationships/hyperlink" Target="https://login.consultant.ru/link/?req=doc&amp;base=LAW&amp;n=470946&amp;dst=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0946&amp;dst=4" TargetMode="External"/><Relationship Id="rId23" Type="http://schemas.openxmlformats.org/officeDocument/2006/relationships/hyperlink" Target="https://login.consultant.ru/link/?req=doc&amp;base=LAW&amp;n=214720&amp;dst=100047" TargetMode="External"/><Relationship Id="rId28" Type="http://schemas.openxmlformats.org/officeDocument/2006/relationships/hyperlink" Target="https://login.consultant.ru/link/?req=doc&amp;base=LAW&amp;n=494597&amp;dst=100037" TargetMode="External"/><Relationship Id="rId10" Type="http://schemas.openxmlformats.org/officeDocument/2006/relationships/hyperlink" Target="https://login.consultant.ru/link/?req=doc&amp;base=LAW&amp;n=429109&amp;dst=100014" TargetMode="External"/><Relationship Id="rId19" Type="http://schemas.openxmlformats.org/officeDocument/2006/relationships/hyperlink" Target="https://login.consultant.ru/link/?req=doc&amp;base=LAW&amp;n=511253&amp;dst=100249" TargetMode="External"/><Relationship Id="rId31" Type="http://schemas.openxmlformats.org/officeDocument/2006/relationships/hyperlink" Target="https://login.consultant.ru/link/?req=doc&amp;base=LAW&amp;n=511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4657&amp;dst=101529" TargetMode="External"/><Relationship Id="rId14" Type="http://schemas.openxmlformats.org/officeDocument/2006/relationships/hyperlink" Target="https://login.consultant.ru/link/?req=doc&amp;base=LAW&amp;n=504657&amp;dst=100562" TargetMode="External"/><Relationship Id="rId22" Type="http://schemas.openxmlformats.org/officeDocument/2006/relationships/hyperlink" Target="https://login.consultant.ru/link/?req=doc&amp;base=LAW&amp;n=214720&amp;dst=100116" TargetMode="External"/><Relationship Id="rId27" Type="http://schemas.openxmlformats.org/officeDocument/2006/relationships/hyperlink" Target="https://login.consultant.ru/link/?req=doc&amp;base=LAW&amp;n=486034&amp;dst=100047" TargetMode="External"/><Relationship Id="rId30" Type="http://schemas.openxmlformats.org/officeDocument/2006/relationships/hyperlink" Target="https://login.consultant.ru/link/?req=doc&amp;base=LAW&amp;n=511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5648</Words>
  <Characters>32197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 Татьяна Владимировна</dc:creator>
  <cp:lastModifiedBy>Шидловская Татьяна Владимировна</cp:lastModifiedBy>
  <cp:revision>1</cp:revision>
  <cp:lastPrinted>2025-09-02T09:56:00Z</cp:lastPrinted>
  <dcterms:created xsi:type="dcterms:W3CDTF">2025-09-02T09:55:00Z</dcterms:created>
  <dcterms:modified xsi:type="dcterms:W3CDTF">2025-09-02T09:57:00Z</dcterms:modified>
</cp:coreProperties>
</file>